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F4C5" w14:textId="0F73D5B2" w:rsidR="00C600A4" w:rsidRDefault="00C600A4" w:rsidP="00C600A4">
      <w:r>
        <w:t xml:space="preserve">Die Verfügbarkeit von REACH-konformen </w:t>
      </w:r>
      <w:r w:rsidRPr="00C600A4">
        <w:t>Gemische</w:t>
      </w:r>
      <w:r>
        <w:t>n</w:t>
      </w:r>
      <w:r w:rsidRPr="00C600A4">
        <w:t xml:space="preserve"> zur Verwendung in Tätowierungen oder Permanent-Make-up </w:t>
      </w:r>
      <w:r>
        <w:t>(</w:t>
      </w:r>
      <w:proofErr w:type="spellStart"/>
      <w:r>
        <w:t>Tätowierfarben</w:t>
      </w:r>
      <w:proofErr w:type="spellEnd"/>
      <w:r>
        <w:t xml:space="preserve">) stellt die Europäische Industrie 6 Monate nach Einführung </w:t>
      </w:r>
      <w:r w:rsidR="00100C2B">
        <w:t xml:space="preserve">der Beschränkung in </w:t>
      </w:r>
      <w:r w:rsidRPr="00C600A4">
        <w:t>An</w:t>
      </w:r>
      <w:r w:rsidR="00100C2B">
        <w:t xml:space="preserve">hang XVII, REACH </w:t>
      </w:r>
      <w:r>
        <w:t>weiterhin vor große Herausforderungen.</w:t>
      </w:r>
      <w:r w:rsidR="00100C2B">
        <w:t xml:space="preserve"> </w:t>
      </w:r>
      <w:r>
        <w:t xml:space="preserve">Im Handel sind viele </w:t>
      </w:r>
      <w:proofErr w:type="spellStart"/>
      <w:r>
        <w:t>Tätowierfarben</w:t>
      </w:r>
      <w:proofErr w:type="spellEnd"/>
      <w:r>
        <w:t xml:space="preserve"> nur in sehr geringen Mengen bis gar nicht verfügbar. Der Bedarf an </w:t>
      </w:r>
      <w:proofErr w:type="spellStart"/>
      <w:r>
        <w:t>Tätowierfarben</w:t>
      </w:r>
      <w:proofErr w:type="spellEnd"/>
      <w:r>
        <w:t xml:space="preserve"> für die Europäische Tätowier- und PMU-Branche ist zurzeit nicht gedeckt.</w:t>
      </w:r>
    </w:p>
    <w:p w14:paraId="11A9F272" w14:textId="6B3C915E" w:rsidR="00C600A4" w:rsidRDefault="00100C2B" w:rsidP="00C600A4">
      <w:r>
        <w:t xml:space="preserve">Der Versorgungsengpass begründet sich </w:t>
      </w:r>
      <w:r w:rsidR="00C600A4">
        <w:t xml:space="preserve">insbesondere </w:t>
      </w:r>
      <w:r>
        <w:t>i</w:t>
      </w:r>
      <w:r w:rsidR="00C600A4">
        <w:t xml:space="preserve">n </w:t>
      </w:r>
      <w:r w:rsidR="003659DA">
        <w:t xml:space="preserve">einer fehlenden </w:t>
      </w:r>
      <w:r w:rsidR="00C600A4">
        <w:t xml:space="preserve">technischen </w:t>
      </w:r>
      <w:r w:rsidR="00FF478D">
        <w:t>Machbarkeit einiger</w:t>
      </w:r>
      <w:r w:rsidR="003659DA">
        <w:t xml:space="preserve"> Vorgaben sowie an </w:t>
      </w:r>
      <w:r w:rsidR="00C600A4">
        <w:t xml:space="preserve">einer fehlenden Planungssicherheit </w:t>
      </w:r>
      <w:r>
        <w:t xml:space="preserve">auf Grund EU-weit inkohärenter Vollzugsaktivitäten. </w:t>
      </w:r>
      <w:r w:rsidR="00C600A4">
        <w:t xml:space="preserve">Daher </w:t>
      </w:r>
      <w:r w:rsidR="00666A51">
        <w:t>sehen</w:t>
      </w:r>
      <w:r w:rsidR="00C600A4">
        <w:t xml:space="preserve"> wir </w:t>
      </w:r>
      <w:r w:rsidR="00666A51">
        <w:t>dringend den Bedarf einer deutlich besser abgestimmten Implementierung der Beschränkungsanforderungen insbesondere in folgenden Bereichen:</w:t>
      </w:r>
    </w:p>
    <w:p w14:paraId="3FC6B97C" w14:textId="1D3DA6EC" w:rsidR="00C600A4" w:rsidRDefault="00C600A4" w:rsidP="003659DA">
      <w:pPr>
        <w:pStyle w:val="Listenabsatz"/>
        <w:numPr>
          <w:ilvl w:val="0"/>
          <w:numId w:val="1"/>
        </w:numPr>
      </w:pPr>
      <w:r>
        <w:t>Grenzwert</w:t>
      </w:r>
      <w:r w:rsidR="00100C2B">
        <w:t>problematik</w:t>
      </w:r>
    </w:p>
    <w:p w14:paraId="45C69B1F" w14:textId="401C165E" w:rsidR="00C600A4" w:rsidRDefault="003659DA" w:rsidP="00C600A4">
      <w:r>
        <w:t>Die nachfolgende Tabelle ver</w:t>
      </w:r>
      <w:r w:rsidR="00100C2B">
        <w:t>gleicht die aktuellen Grenzwerte der EU-Beschränkung mit</w:t>
      </w:r>
      <w:r>
        <w:t xml:space="preserve"> </w:t>
      </w:r>
      <w:r w:rsidR="00100C2B">
        <w:t xml:space="preserve">Grenzwerten, die in </w:t>
      </w:r>
      <w:r>
        <w:t>Australien</w:t>
      </w:r>
      <w:r w:rsidR="00100C2B">
        <w:t xml:space="preserve"> heuer neu festgelegt wurden. Die australischen Grenzwerte entsprechen hiermit dem aktuellen Stand der Technik</w:t>
      </w:r>
      <w:r>
        <w:t xml:space="preserve">, </w:t>
      </w:r>
      <w:r w:rsidR="00100C2B">
        <w:t>hingegen wurden die EU-</w:t>
      </w:r>
      <w:r>
        <w:t xml:space="preserve">Grenzwerte </w:t>
      </w:r>
      <w:r w:rsidR="00100C2B">
        <w:t xml:space="preserve">unterhalb der </w:t>
      </w:r>
      <w:r w:rsidR="003E6D22">
        <w:t>technischen Machbarkeit</w:t>
      </w:r>
      <w:r>
        <w:t xml:space="preserve"> festgelegt. </w:t>
      </w:r>
    </w:p>
    <w:p w14:paraId="6F39BC44" w14:textId="77777777" w:rsidR="003659DA" w:rsidRDefault="003659DA" w:rsidP="003659DA">
      <w:r w:rsidRPr="00C600A4">
        <w:rPr>
          <w:noProof/>
        </w:rPr>
        <w:drawing>
          <wp:inline distT="0" distB="0" distL="0" distR="0" wp14:anchorId="1456D19A" wp14:editId="61B3BDDC">
            <wp:extent cx="5760720" cy="12477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86BE6" w14:textId="1F9AF6D3" w:rsidR="00700C09" w:rsidRPr="00666A51" w:rsidRDefault="00100C2B" w:rsidP="00700C09">
      <w:r>
        <w:t>W</w:t>
      </w:r>
      <w:r w:rsidR="00666A51">
        <w:t>eiter</w:t>
      </w:r>
      <w:r>
        <w:t>s</w:t>
      </w:r>
      <w:r w:rsidR="00666A51">
        <w:t xml:space="preserve"> wird </w:t>
      </w:r>
      <w:r w:rsidR="006F7960" w:rsidRPr="00666A51">
        <w:t xml:space="preserve">im aktuellen Gesetzesvorschlag </w:t>
      </w:r>
      <w:r w:rsidR="00666A51">
        <w:t>in</w:t>
      </w:r>
      <w:r w:rsidR="006F7960" w:rsidRPr="00666A51">
        <w:t xml:space="preserve"> UK </w:t>
      </w:r>
      <w:r w:rsidR="006F7960">
        <w:t>(</w:t>
      </w:r>
      <w:r w:rsidR="006F7960" w:rsidRPr="00666A51">
        <w:t xml:space="preserve">Annex 15 </w:t>
      </w:r>
      <w:proofErr w:type="spellStart"/>
      <w:r w:rsidR="006F7960" w:rsidRPr="00666A51">
        <w:t>Restriction</w:t>
      </w:r>
      <w:proofErr w:type="spellEnd"/>
      <w:r w:rsidR="006F7960" w:rsidRPr="00666A51">
        <w:t xml:space="preserve"> Report </w:t>
      </w:r>
      <w:proofErr w:type="spellStart"/>
      <w:r w:rsidR="006F7960" w:rsidRPr="00666A51">
        <w:t>Proposal</w:t>
      </w:r>
      <w:proofErr w:type="spellEnd"/>
      <w:r w:rsidR="006F7960" w:rsidRPr="00666A51">
        <w:t xml:space="preserve"> of UK</w:t>
      </w:r>
      <w:r w:rsidR="006F7960">
        <w:t xml:space="preserve">) kein Verbot des Pigmentes Blue 15 </w:t>
      </w:r>
      <w:r>
        <w:t>gefordert</w:t>
      </w:r>
      <w:r w:rsidR="006F7960">
        <w:t xml:space="preserve">. Dies kann als weiterer Beleg gewertet werden, dass </w:t>
      </w:r>
      <w:r w:rsidR="00666A51">
        <w:t>die Regelung der EU überschießend ist</w:t>
      </w:r>
      <w:r w:rsidR="006F7960">
        <w:t>.</w:t>
      </w:r>
    </w:p>
    <w:p w14:paraId="19501F50" w14:textId="1D9E6738" w:rsidR="00700C09" w:rsidRDefault="00700C09" w:rsidP="003659DA">
      <w:r w:rsidRPr="00700C09">
        <w:t xml:space="preserve">Die </w:t>
      </w:r>
      <w:r>
        <w:t>EU-</w:t>
      </w:r>
      <w:r w:rsidRPr="00700C09">
        <w:t>Grenzwerte für Arsen, B</w:t>
      </w:r>
      <w:r>
        <w:t xml:space="preserve">lei, Kobalt sowie </w:t>
      </w:r>
      <w:proofErr w:type="spellStart"/>
      <w:r>
        <w:t>Acet</w:t>
      </w:r>
      <w:proofErr w:type="spellEnd"/>
      <w:r>
        <w:t>- und Formaldehyde sind selbst bei Verwendung von Rohstoffen in pharmazeutischer Qualität technisch nicht prozesssicher einzuhalten</w:t>
      </w:r>
      <w:r w:rsidR="003E6D22">
        <w:t>. Somit ist die Einhaltung dieser Grenzwerte selbst bei Einsatz der reinsten verfügbaren Rohstoffe</w:t>
      </w:r>
      <w:r w:rsidR="00666A51">
        <w:t>, eben in pharmazeutischer Q</w:t>
      </w:r>
      <w:r w:rsidR="003E6D22">
        <w:t>ualität</w:t>
      </w:r>
      <w:r w:rsidR="00666A51">
        <w:t>,</w:t>
      </w:r>
      <w:r w:rsidR="003E6D22">
        <w:t xml:space="preserve"> technisch nicht machbar</w:t>
      </w:r>
      <w:r>
        <w:t xml:space="preserve">. Dies gilt insbesondere bei Durchführung einer Sterilisation der </w:t>
      </w:r>
      <w:proofErr w:type="spellStart"/>
      <w:r>
        <w:t>Tätowierfarben</w:t>
      </w:r>
      <w:proofErr w:type="spellEnd"/>
      <w:r>
        <w:t xml:space="preserve">, die aus Gesichtspunkten der Konsumentensicherheit </w:t>
      </w:r>
      <w:r w:rsidR="00666A51">
        <w:t>unabdingbar</w:t>
      </w:r>
      <w:r>
        <w:t xml:space="preserve"> ist. Alle etablierten Sterilisationsmethoden führen durch unvermeidbare chemische Abläufe zu signifikanter Aldehyd-Entstehung aufgrund von Energieeintrag (Licht / Wärme / Strahlung).</w:t>
      </w:r>
    </w:p>
    <w:p w14:paraId="31CE01DA" w14:textId="0735A015" w:rsidR="00C600A4" w:rsidRDefault="00700C09" w:rsidP="00C600A4">
      <w:r>
        <w:t xml:space="preserve">Wie bereits </w:t>
      </w:r>
      <w:r w:rsidR="00666A51">
        <w:t>während</w:t>
      </w:r>
      <w:r>
        <w:t xml:space="preserve"> der Entstehung </w:t>
      </w:r>
      <w:r w:rsidR="00666A51">
        <w:t>der EU-Beschränkung mehrmals der</w:t>
      </w:r>
      <w:r>
        <w:t xml:space="preserve"> ECHA </w:t>
      </w:r>
      <w:r w:rsidR="004C4E4F">
        <w:t>berichtet</w:t>
      </w:r>
      <w:r w:rsidR="00666A51">
        <w:t xml:space="preserve"> wurde</w:t>
      </w:r>
      <w:r w:rsidR="004C4E4F">
        <w:t xml:space="preserve">, gibt es für das </w:t>
      </w:r>
      <w:r w:rsidR="00C600A4">
        <w:t>Pigment Blue</w:t>
      </w:r>
      <w:r w:rsidR="004C4E4F">
        <w:t xml:space="preserve"> 15 momentan keine </w:t>
      </w:r>
      <w:r w:rsidR="00C600A4">
        <w:t>Alternative</w:t>
      </w:r>
      <w:r w:rsidR="004C4E4F">
        <w:t xml:space="preserve">. Zudem besteht keine Evidenz bezüglich eines kritischen Effektes dieses Pigmentes in </w:t>
      </w:r>
      <w:proofErr w:type="spellStart"/>
      <w:r w:rsidR="004C4E4F">
        <w:t>Tätowierfarben</w:t>
      </w:r>
      <w:proofErr w:type="spellEnd"/>
      <w:r w:rsidR="004C4E4F">
        <w:t xml:space="preserve">. Folgerichtig </w:t>
      </w:r>
      <w:r w:rsidR="00AE7D6F">
        <w:t>wird UK</w:t>
      </w:r>
      <w:r w:rsidR="00C600A4">
        <w:t xml:space="preserve"> </w:t>
      </w:r>
      <w:r w:rsidR="004C4E4F">
        <w:t xml:space="preserve">auf eine </w:t>
      </w:r>
      <w:r w:rsidR="00666A51">
        <w:t xml:space="preserve">Beschränkung </w:t>
      </w:r>
      <w:r w:rsidR="004C4E4F">
        <w:t xml:space="preserve">dieses Pigmentes in </w:t>
      </w:r>
      <w:proofErr w:type="spellStart"/>
      <w:r w:rsidR="004C4E4F">
        <w:t>Tätowierfarben</w:t>
      </w:r>
      <w:proofErr w:type="spellEnd"/>
      <w:r w:rsidR="004C4E4F">
        <w:t xml:space="preserve"> verzichten. Es wäre </w:t>
      </w:r>
      <w:r w:rsidR="00100C2B">
        <w:t>damit gerechtfertigt</w:t>
      </w:r>
      <w:r w:rsidR="004C4E4F">
        <w:t xml:space="preserve">, </w:t>
      </w:r>
      <w:r w:rsidR="00100C2B">
        <w:t>dass</w:t>
      </w:r>
      <w:r w:rsidR="004C4E4F">
        <w:t xml:space="preserve"> die EU hier nachzieh</w:t>
      </w:r>
      <w:r w:rsidR="00100C2B">
        <w:t>t</w:t>
      </w:r>
      <w:r w:rsidR="00666A51">
        <w:t xml:space="preserve"> bzw. zumindest eine Überprüfung der Beschränkung einleit</w:t>
      </w:r>
      <w:r w:rsidR="00100C2B">
        <w:t>et</w:t>
      </w:r>
      <w:r w:rsidR="004C4E4F">
        <w:t>.</w:t>
      </w:r>
    </w:p>
    <w:p w14:paraId="4729CE1A" w14:textId="77777777" w:rsidR="00C600A4" w:rsidRDefault="00C600A4" w:rsidP="004C4E4F">
      <w:pPr>
        <w:pStyle w:val="Listenabsatz"/>
        <w:numPr>
          <w:ilvl w:val="0"/>
          <w:numId w:val="1"/>
        </w:numPr>
      </w:pPr>
      <w:r>
        <w:t xml:space="preserve">Probleme im Vollzug der behördlichen </w:t>
      </w:r>
      <w:r w:rsidR="004C4E4F">
        <w:t>Kontrollen</w:t>
      </w:r>
    </w:p>
    <w:p w14:paraId="29D4A758" w14:textId="6C20A129" w:rsidR="00C600A4" w:rsidRDefault="00100C2B" w:rsidP="00C600A4">
      <w:r>
        <w:t>Derzeit werden</w:t>
      </w:r>
      <w:r w:rsidR="004C4E4F">
        <w:t xml:space="preserve"> erhebliche Probleme aufgrund der </w:t>
      </w:r>
      <w:r w:rsidR="00CE75DB">
        <w:t xml:space="preserve">Inkohärenz </w:t>
      </w:r>
      <w:r w:rsidR="00C600A4">
        <w:t xml:space="preserve">in der </w:t>
      </w:r>
      <w:r w:rsidR="004C4E4F">
        <w:t xml:space="preserve">durch Behörden eingesetzten </w:t>
      </w:r>
      <w:r w:rsidR="00C600A4">
        <w:t>Analytik</w:t>
      </w:r>
      <w:r w:rsidR="00CE75DB">
        <w:t xml:space="preserve"> beobachtet</w:t>
      </w:r>
      <w:r w:rsidR="004C4E4F">
        <w:t xml:space="preserve">. So haben </w:t>
      </w:r>
      <w:r w:rsidR="00CE75DB">
        <w:t xml:space="preserve">beispielsweise </w:t>
      </w:r>
      <w:r w:rsidR="00C600A4">
        <w:t xml:space="preserve">Norwegen </w:t>
      </w:r>
      <w:r w:rsidR="004C4E4F">
        <w:t xml:space="preserve">und </w:t>
      </w:r>
      <w:r w:rsidR="00C600A4">
        <w:t xml:space="preserve">Schweden RAPEX-Meldungen </w:t>
      </w:r>
      <w:r w:rsidR="004C4E4F">
        <w:t xml:space="preserve">initiiert, die </w:t>
      </w:r>
      <w:r w:rsidR="00C600A4">
        <w:t>auf Grundlage von Daten aus Vollaufschluss</w:t>
      </w:r>
      <w:r w:rsidR="004C4E4F">
        <w:t xml:space="preserve">-Analytik </w:t>
      </w:r>
      <w:r w:rsidR="00C600A4">
        <w:t xml:space="preserve">für </w:t>
      </w:r>
      <w:r w:rsidR="004C4E4F">
        <w:t xml:space="preserve">Kupfer basieren. Im Gegensatz legt </w:t>
      </w:r>
      <w:r w:rsidR="00FF478D">
        <w:t xml:space="preserve">die </w:t>
      </w:r>
      <w:r w:rsidR="00FF478D">
        <w:t xml:space="preserve">EU-Beschränkung </w:t>
      </w:r>
      <w:r w:rsidR="004C4E4F">
        <w:t xml:space="preserve">fest, dass </w:t>
      </w:r>
      <w:r w:rsidR="00C600A4">
        <w:t xml:space="preserve">„lösliches“ </w:t>
      </w:r>
      <w:r w:rsidR="004C4E4F">
        <w:t xml:space="preserve">Kupfer </w:t>
      </w:r>
      <w:r w:rsidR="00C600A4">
        <w:t xml:space="preserve">zu </w:t>
      </w:r>
      <w:r w:rsidR="00CE75DB">
        <w:t>betrachten</w:t>
      </w:r>
      <w:r w:rsidR="004C4E4F">
        <w:t xml:space="preserve"> ist. </w:t>
      </w:r>
      <w:r w:rsidR="00AE7D6F" w:rsidRPr="00AE7D6F">
        <w:t>Des Weiteren hängt die Bestimmung des Aldehyde Gehaltes davon ab, wie viel Zeit nach der Probenaufbereitung gemessen wird.</w:t>
      </w:r>
    </w:p>
    <w:p w14:paraId="74655CA5" w14:textId="77777777" w:rsidR="00AE7D6F" w:rsidRDefault="00AE7D6F" w:rsidP="00C600A4"/>
    <w:p w14:paraId="3FC16660" w14:textId="5B149995" w:rsidR="00AE7D6F" w:rsidRDefault="00AE7D6F" w:rsidP="00C600A4">
      <w:r>
        <w:lastRenderedPageBreak/>
        <w:t>U</w:t>
      </w:r>
      <w:r w:rsidR="009E12BE">
        <w:t>nklarheit</w:t>
      </w:r>
      <w:r>
        <w:t xml:space="preserve"> besteht ebenfalls darüber, welche </w:t>
      </w:r>
      <w:r w:rsidR="002A2621">
        <w:t xml:space="preserve">Standarddefinition </w:t>
      </w:r>
      <w:r w:rsidR="009E12BE">
        <w:t xml:space="preserve">bei der </w:t>
      </w:r>
      <w:r w:rsidR="002A2621">
        <w:t xml:space="preserve">Analytik von </w:t>
      </w:r>
      <w:r w:rsidR="002A2621" w:rsidRPr="002A2621">
        <w:t>Stoffe</w:t>
      </w:r>
      <w:r w:rsidR="002A2621">
        <w:t>n</w:t>
      </w:r>
      <w:r w:rsidR="002A2621" w:rsidRPr="002A2621">
        <w:t xml:space="preserve">, die bei Standardtemperatur und </w:t>
      </w:r>
      <w:r w:rsidR="002A2621">
        <w:t>Standard</w:t>
      </w:r>
      <w:r w:rsidR="002A2621" w:rsidRPr="002A2621">
        <w:t>druck gasförmig sind</w:t>
      </w:r>
      <w:r>
        <w:t>, angewendet werden sollte</w:t>
      </w:r>
      <w:r w:rsidR="002A2621">
        <w:t xml:space="preserve">. </w:t>
      </w:r>
      <w:r w:rsidR="0020451F">
        <w:rPr>
          <w:lang w:val="de-AT"/>
        </w:rPr>
        <w:t xml:space="preserve">So sind beispielsweise die Standardbedingungen in der Biochemie mit 25°Celsius und 1 bar Luftdruck andere als in der Medizin mit 37° Celsius und dem tatsächlichen Luftdruck". </w:t>
      </w:r>
      <w:r w:rsidR="002A2621">
        <w:t xml:space="preserve">Dies führt ebenfalls zu teils erheblichen Abweichungen analytischer Testungen durch Hersteller und Behörden. </w:t>
      </w:r>
    </w:p>
    <w:p w14:paraId="5E24A406" w14:textId="6EF81EC5" w:rsidR="00AE2AD6" w:rsidRDefault="004C4E4F" w:rsidP="00C600A4">
      <w:r>
        <w:t>Ein</w:t>
      </w:r>
      <w:r w:rsidR="00CE75DB">
        <w:t xml:space="preserve"> weiteres Problemfeld sind Kontrollen der Etiketten. </w:t>
      </w:r>
      <w:r w:rsidR="00AE2AD6">
        <w:t>Beispiel</w:t>
      </w:r>
      <w:r w:rsidR="00CE75DB">
        <w:t xml:space="preserve">sweise wird von einigen </w:t>
      </w:r>
      <w:r>
        <w:t xml:space="preserve">Kontrollorganen </w:t>
      </w:r>
      <w:r w:rsidR="00CE75DB">
        <w:t>verlangt</w:t>
      </w:r>
      <w:r w:rsidR="00AE2AD6">
        <w:t xml:space="preserve">, </w:t>
      </w:r>
      <w:r>
        <w:t>da</w:t>
      </w:r>
      <w:r w:rsidR="00AE2AD6">
        <w:t>s</w:t>
      </w:r>
      <w:r>
        <w:t xml:space="preserve">s auf </w:t>
      </w:r>
      <w:r w:rsidR="00AE2AD6">
        <w:t xml:space="preserve">den </w:t>
      </w:r>
      <w:r>
        <w:t xml:space="preserve">Etiketten von </w:t>
      </w:r>
      <w:proofErr w:type="spellStart"/>
      <w:r>
        <w:t>Tätowier</w:t>
      </w:r>
      <w:r w:rsidR="00AE2AD6">
        <w:t>farben</w:t>
      </w:r>
      <w:proofErr w:type="spellEnd"/>
      <w:r w:rsidR="00AE2AD6">
        <w:t xml:space="preserve"> </w:t>
      </w:r>
      <w:r>
        <w:t xml:space="preserve">der Hinweis </w:t>
      </w:r>
      <w:r w:rsidR="00AE2AD6">
        <w:t>„</w:t>
      </w:r>
      <w:r>
        <w:t>REACH-Konform</w:t>
      </w:r>
      <w:r w:rsidR="00AE2AD6">
        <w:t>“ enthalten sein muss. Die</w:t>
      </w:r>
      <w:r w:rsidR="00FF478D">
        <w:t xml:space="preserve"> EU-Beschränkung kennt ein solches </w:t>
      </w:r>
      <w:r w:rsidR="00AE2AD6">
        <w:t>Kriterium</w:t>
      </w:r>
      <w:r w:rsidR="00FF478D">
        <w:t xml:space="preserve"> nicht, was </w:t>
      </w:r>
      <w:r w:rsidR="00AE2AD6">
        <w:t xml:space="preserve">in </w:t>
      </w:r>
      <w:r w:rsidR="00FF478D">
        <w:t xml:space="preserve">Folge dazu führt, dass </w:t>
      </w:r>
      <w:r w:rsidR="00AE2AD6">
        <w:t xml:space="preserve">Vollzugsbehörden anderer Mitgliedsländer </w:t>
      </w:r>
      <w:r w:rsidR="00FF478D">
        <w:t xml:space="preserve">dies </w:t>
      </w:r>
      <w:r w:rsidR="00AE2AD6">
        <w:t>als fehlerhaft bemängel</w:t>
      </w:r>
      <w:r w:rsidR="00FF478D">
        <w:t>n</w:t>
      </w:r>
      <w:r w:rsidR="00AE2AD6">
        <w:t xml:space="preserve">. Dies führte in einigen Fällen bereits </w:t>
      </w:r>
      <w:r w:rsidR="00CE75DB">
        <w:t>zur behördlich angeordneten Entsorgung</w:t>
      </w:r>
      <w:r w:rsidR="00AE2AD6">
        <w:t xml:space="preserve"> von </w:t>
      </w:r>
      <w:proofErr w:type="spellStart"/>
      <w:r w:rsidR="00CE75DB">
        <w:t>Tätowierfarben</w:t>
      </w:r>
      <w:proofErr w:type="spellEnd"/>
      <w:r w:rsidR="00CE75DB">
        <w:t xml:space="preserve">, die </w:t>
      </w:r>
      <w:r w:rsidR="00FF478D">
        <w:t>an sich einwandfrei waren</w:t>
      </w:r>
      <w:r w:rsidR="00AE2AD6">
        <w:t>.</w:t>
      </w:r>
    </w:p>
    <w:p w14:paraId="3EB557D7" w14:textId="34453EDD" w:rsidR="00C600A4" w:rsidRDefault="00FF478D" w:rsidP="00C600A4">
      <w:r>
        <w:t xml:space="preserve">Hiermit </w:t>
      </w:r>
      <w:r w:rsidR="004C4E4F">
        <w:t xml:space="preserve">führt die </w:t>
      </w:r>
      <w:r w:rsidR="00CE75DB">
        <w:t>Inkohärenz</w:t>
      </w:r>
      <w:r w:rsidR="004C4E4F">
        <w:t xml:space="preserve"> </w:t>
      </w:r>
      <w:r>
        <w:t xml:space="preserve">im </w:t>
      </w:r>
      <w:r w:rsidR="004C4E4F">
        <w:t>Vollzug zwischen den einzelnen Mitglieds</w:t>
      </w:r>
      <w:r>
        <w:t>taaten</w:t>
      </w:r>
      <w:r w:rsidR="004C4E4F">
        <w:t xml:space="preserve"> zu Wettbewerbsverzerrungen</w:t>
      </w:r>
      <w:r>
        <w:t xml:space="preserve"> und Intransparenz</w:t>
      </w:r>
      <w:r w:rsidR="00A7261C">
        <w:t>, welche Produkte rechtskonform sind</w:t>
      </w:r>
      <w:r w:rsidR="00AE2AD6">
        <w:t xml:space="preserve">. Die Planungssicherheit für Hersteller </w:t>
      </w:r>
      <w:r w:rsidR="00CE75DB">
        <w:t xml:space="preserve">bzw. Inverkehrbringer </w:t>
      </w:r>
      <w:r w:rsidR="00AE2AD6">
        <w:t xml:space="preserve">ist nicht gegeben. </w:t>
      </w:r>
      <w:r w:rsidR="00CE75DB">
        <w:t>Das trägt zusätzlich zu Versorgungsengpässen bei</w:t>
      </w:r>
      <w:r w:rsidR="00AE2AD6">
        <w:t xml:space="preserve">. </w:t>
      </w:r>
    </w:p>
    <w:p w14:paraId="5DAEC20A" w14:textId="294FC799" w:rsidR="00C600A4" w:rsidRPr="00AE2AD6" w:rsidRDefault="00CE75DB">
      <w:r>
        <w:t xml:space="preserve">Wir sind der Ansicht, dass konkrete Schritte für eine </w:t>
      </w:r>
      <w:r w:rsidR="00AE2AD6">
        <w:t>Harmonisierung</w:t>
      </w:r>
      <w:r>
        <w:t xml:space="preserve"> des Vollzugs rasch erfolgen müssen. Hilfreich wären beispielsweise Leitlinien für</w:t>
      </w:r>
      <w:r w:rsidR="00AE2AD6">
        <w:t xml:space="preserve"> komplexe Themen wie </w:t>
      </w:r>
      <w:r>
        <w:t xml:space="preserve">Kennzeichnung </w:t>
      </w:r>
      <w:r w:rsidR="00AE2AD6">
        <w:t>und Grenzwert-Analytik.</w:t>
      </w:r>
      <w:r>
        <w:t xml:space="preserve"> Zu diesem Zwecke stellen wir gerne unsere Erfahrungen bzw. konkrete Praxisbeispiele zur Verfügung.</w:t>
      </w:r>
    </w:p>
    <w:sectPr w:rsidR="00C600A4" w:rsidRPr="00AE2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3872"/>
    <w:multiLevelType w:val="hybridMultilevel"/>
    <w:tmpl w:val="84E00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A4"/>
    <w:rsid w:val="00100C2B"/>
    <w:rsid w:val="0020451F"/>
    <w:rsid w:val="00284275"/>
    <w:rsid w:val="002A2621"/>
    <w:rsid w:val="003659DA"/>
    <w:rsid w:val="003E6D22"/>
    <w:rsid w:val="004C4E4F"/>
    <w:rsid w:val="00666A51"/>
    <w:rsid w:val="006F7960"/>
    <w:rsid w:val="00700C09"/>
    <w:rsid w:val="008D20F2"/>
    <w:rsid w:val="009A16AB"/>
    <w:rsid w:val="009E12BE"/>
    <w:rsid w:val="00A33BCA"/>
    <w:rsid w:val="00A7261C"/>
    <w:rsid w:val="00AE2AD6"/>
    <w:rsid w:val="00AE7D6F"/>
    <w:rsid w:val="00C600A4"/>
    <w:rsid w:val="00CE75DB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0FE5"/>
  <w15:chartTrackingRefBased/>
  <w15:docId w15:val="{1FF19B0F-0AD3-493C-ABD9-9CC9DAA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9D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2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20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20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0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0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D2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A1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Pachten, Andreas</dc:creator>
  <cp:keywords/>
  <dc:description/>
  <cp:lastModifiedBy>Susnik Marko, Dipl. Ing, Dr., WKÖ Up</cp:lastModifiedBy>
  <cp:revision>5</cp:revision>
  <dcterms:created xsi:type="dcterms:W3CDTF">2022-09-07T13:02:00Z</dcterms:created>
  <dcterms:modified xsi:type="dcterms:W3CDTF">2022-09-08T13:39:00Z</dcterms:modified>
</cp:coreProperties>
</file>